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left"/>
        <w:rPr>
          <w:rFonts w:ascii="黑体" w:hAnsi="黑体" w:eastAsia="黑体"/>
          <w:szCs w:val="32"/>
        </w:rPr>
      </w:pPr>
      <w:bookmarkStart w:id="0" w:name="_Hlk83544328"/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1</w:t>
      </w:r>
      <w:bookmarkEnd w:id="0"/>
    </w:p>
    <w:p>
      <w:pPr>
        <w:spacing w:before="289" w:beforeLines="50" w:after="289" w:afterLines="50" w:line="560" w:lineRule="exact"/>
        <w:jc w:val="center"/>
        <w:rPr>
          <w:rFonts w:ascii="Times New Roman" w:eastAsia="方正小标宋简体"/>
          <w:szCs w:val="32"/>
        </w:rPr>
      </w:pPr>
      <w:bookmarkStart w:id="1" w:name="_GoBack"/>
      <w:r>
        <w:rPr>
          <w:rFonts w:hint="eastAsia" w:ascii="Times New Roman" w:eastAsia="方正小标宋简体"/>
          <w:sz w:val="44"/>
          <w:szCs w:val="44"/>
        </w:rPr>
        <w:t>烟台市人才公寓线上</w:t>
      </w:r>
      <w:r>
        <w:rPr>
          <w:rFonts w:hint="eastAsia" w:ascii="Times New Roman" w:eastAsia="方正小标宋简体"/>
          <w:sz w:val="44"/>
          <w:szCs w:val="44"/>
          <w:lang w:eastAsia="zh-CN"/>
        </w:rPr>
        <w:t>申报</w:t>
      </w:r>
      <w:r>
        <w:rPr>
          <w:rFonts w:hint="eastAsia" w:ascii="Times New Roman" w:eastAsia="方正小标宋简体"/>
          <w:sz w:val="44"/>
          <w:szCs w:val="44"/>
        </w:rPr>
        <w:t>综合评分表（试行）</w:t>
      </w:r>
      <w:bookmarkEnd w:id="1"/>
    </w:p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4987"/>
        <w:gridCol w:w="1241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楷体_GB2312"/>
                <w:sz w:val="36"/>
                <w:szCs w:val="36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一级指标</w:t>
            </w:r>
          </w:p>
        </w:tc>
        <w:tc>
          <w:tcPr>
            <w:tcW w:w="49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二级指标</w:t>
            </w: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得分</w:t>
            </w:r>
          </w:p>
        </w:tc>
        <w:tc>
          <w:tcPr>
            <w:tcW w:w="13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1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学历类人才</w:t>
            </w:r>
          </w:p>
        </w:tc>
        <w:tc>
          <w:tcPr>
            <w:tcW w:w="4987" w:type="dxa"/>
            <w:vAlign w:val="center"/>
          </w:tcPr>
          <w:p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博士研究生</w:t>
            </w: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321" w:type="dxa"/>
            <w:vMerge w:val="restart"/>
            <w:vAlign w:val="center"/>
          </w:tcPr>
          <w:p>
            <w:pPr>
              <w:adjustRightInd w:val="0"/>
              <w:snapToGrid w:val="0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申请人同时符合多种条件的，分值累计计算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987" w:type="dxa"/>
            <w:vAlign w:val="center"/>
          </w:tcPr>
          <w:p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硕士研究生</w:t>
            </w: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987" w:type="dxa"/>
            <w:vAlign w:val="center"/>
          </w:tcPr>
          <w:p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本科生</w:t>
            </w: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987" w:type="dxa"/>
            <w:vAlign w:val="center"/>
          </w:tcPr>
          <w:p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专科生</w:t>
            </w: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1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职称类人才</w:t>
            </w:r>
          </w:p>
        </w:tc>
        <w:tc>
          <w:tcPr>
            <w:tcW w:w="4987" w:type="dxa"/>
            <w:vAlign w:val="center"/>
          </w:tcPr>
          <w:p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正高级职称</w:t>
            </w: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3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987" w:type="dxa"/>
            <w:vAlign w:val="center"/>
          </w:tcPr>
          <w:p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副高级职称</w:t>
            </w: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987" w:type="dxa"/>
            <w:vAlign w:val="center"/>
          </w:tcPr>
          <w:p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中级职称</w:t>
            </w: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987" w:type="dxa"/>
            <w:vAlign w:val="center"/>
          </w:tcPr>
          <w:p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初级职称</w:t>
            </w: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3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1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技能类人才</w:t>
            </w:r>
          </w:p>
        </w:tc>
        <w:tc>
          <w:tcPr>
            <w:tcW w:w="4987" w:type="dxa"/>
            <w:vAlign w:val="center"/>
          </w:tcPr>
          <w:p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高级技师</w:t>
            </w: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3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987" w:type="dxa"/>
            <w:vAlign w:val="center"/>
          </w:tcPr>
          <w:p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技师</w:t>
            </w: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987" w:type="dxa"/>
            <w:vAlign w:val="center"/>
          </w:tcPr>
          <w:p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高级工</w:t>
            </w: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3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987" w:type="dxa"/>
            <w:vAlign w:val="center"/>
          </w:tcPr>
          <w:p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中级工</w:t>
            </w: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创业类人才</w:t>
            </w:r>
          </w:p>
        </w:tc>
        <w:tc>
          <w:tcPr>
            <w:tcW w:w="4987" w:type="dxa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企业聘用员工缴纳社保人数，每有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人加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</w:t>
            </w:r>
            <w:r>
              <w:rPr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32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加分项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社保缴纳</w:t>
            </w:r>
          </w:p>
          <w:p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时长</w:t>
            </w:r>
          </w:p>
        </w:tc>
        <w:tc>
          <w:tcPr>
            <w:tcW w:w="4987" w:type="dxa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个人在烟缴纳社保时长，每月</w:t>
            </w:r>
            <w:r>
              <w:rPr>
                <w:sz w:val="24"/>
                <w:szCs w:val="24"/>
              </w:rPr>
              <w:t>0.5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3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分类认定</w:t>
            </w:r>
          </w:p>
          <w:p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情况</w:t>
            </w:r>
          </w:p>
        </w:tc>
        <w:tc>
          <w:tcPr>
            <w:tcW w:w="4987" w:type="dxa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经市委人才工作领导小组办公室认定的</w:t>
            </w:r>
            <w:r>
              <w:rPr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类高层次人才</w:t>
            </w: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3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配偶情况</w:t>
            </w:r>
          </w:p>
        </w:tc>
        <w:tc>
          <w:tcPr>
            <w:tcW w:w="4987" w:type="dxa"/>
            <w:vAlign w:val="center"/>
          </w:tcPr>
          <w:p>
            <w:pPr>
              <w:adjustRightInd w:val="0"/>
              <w:snapToGrid w:val="0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按照上述《综合评分表》二级指标规则进行计分</w:t>
            </w: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按照实际计分情况计算</w:t>
            </w:r>
          </w:p>
        </w:tc>
        <w:tc>
          <w:tcPr>
            <w:tcW w:w="13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D95361-769D-4C6A-8C08-D100B73A2C7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4A2955C-B49A-49F4-BEE9-3CC22E1B993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7BF043C-D439-42FA-A4CD-AF4F3C1E783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5F9D0DDC-B7A9-45A2-AEBE-DC5AAC23017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640E5"/>
    <w:rsid w:val="449640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2021-09-28T08:59:00Z</dcterms:created>
  <dc:creator>胶东在线 刘雪平</dc:creator>
  <cp:lastModifiedBy>胶东在线 刘雪平</cp:lastModifiedBy>
  <dcterms:modified xsi:type="dcterms:W3CDTF">2021-09-28T09:00:11Z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C1ED8A0B4BA44D839E086749A02614CA</vt:lpwstr>
  </property>
</Properties>
</file>